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outlineLvl w:val="0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/>
          <w:b/>
          <w:sz w:val="32"/>
          <w:szCs w:val="32"/>
          <w:lang w:eastAsia="zh-CN"/>
        </w:rPr>
        <w:t>分析化学</w:t>
      </w:r>
      <w:r>
        <w:rPr>
          <w:b/>
          <w:sz w:val="32"/>
          <w:szCs w:val="32"/>
          <w:lang w:eastAsia="zh-CN"/>
        </w:rPr>
        <w:t>》课程教学大纲</w:t>
      </w:r>
    </w:p>
    <w:tbl>
      <w:tblPr>
        <w:tblStyle w:val="1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87"/>
        <w:gridCol w:w="377"/>
        <w:gridCol w:w="636"/>
        <w:gridCol w:w="1142"/>
        <w:gridCol w:w="439"/>
        <w:gridCol w:w="1912"/>
        <w:gridCol w:w="1391"/>
        <w:gridCol w:w="3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15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课程名称：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分析化学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必</w:t>
            </w:r>
            <w:r>
              <w:rPr>
                <w:rFonts w:eastAsia="宋体"/>
                <w:sz w:val="21"/>
                <w:szCs w:val="21"/>
                <w:lang w:eastAsia="zh-CN"/>
              </w:rPr>
              <w:t>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shd w:val="clear" w:color="auto" w:fill="auto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sz w:val="18"/>
                <w:szCs w:val="18"/>
              </w:rPr>
              <w:t>Analy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tical</w:t>
            </w:r>
            <w:r>
              <w:rPr>
                <w:sz w:val="18"/>
                <w:szCs w:val="18"/>
              </w:rPr>
              <w:t xml:space="preserve"> Chemi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stry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15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32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其中实验（实训、讨论等）学时：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《无机化学》及其实验课程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15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eastAsia="宋体"/>
                <w:sz w:val="21"/>
                <w:szCs w:val="21"/>
                <w:lang w:eastAsia="zh-CN"/>
              </w:rPr>
              <w:t>1-16周 星期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一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6E308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授课对象：</w:t>
            </w:r>
            <w:r>
              <w:rPr>
                <w:rFonts w:eastAsia="宋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级化学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工艺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1、2、3</w:t>
            </w:r>
            <w:r>
              <w:rPr>
                <w:rFonts w:eastAsia="宋体"/>
                <w:sz w:val="21"/>
                <w:szCs w:val="21"/>
                <w:lang w:eastAsia="zh-CN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eastAsia="宋体"/>
                <w:sz w:val="21"/>
                <w:szCs w:val="21"/>
                <w:lang w:eastAsia="zh-CN"/>
              </w:rPr>
              <w:t>化学工程与能源技术学院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彭敏</w:t>
            </w:r>
            <w:r>
              <w:rPr>
                <w:rFonts w:eastAsia="宋体"/>
                <w:sz w:val="21"/>
                <w:szCs w:val="21"/>
                <w:lang w:eastAsia="zh-CN"/>
              </w:rPr>
              <w:t>/副教授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15" w:type="dxa"/>
            <w:gridSpan w:val="6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联系电话：</w:t>
            </w:r>
            <w:r>
              <w:rPr>
                <w:rFonts w:eastAsia="宋体"/>
                <w:sz w:val="21"/>
                <w:szCs w:val="21"/>
                <w:lang w:eastAsia="zh-CN"/>
              </w:rPr>
              <w:t>135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38316990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67792</w:t>
            </w:r>
          </w:p>
        </w:tc>
        <w:tc>
          <w:tcPr>
            <w:tcW w:w="5039" w:type="dxa"/>
            <w:gridSpan w:val="4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Email: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1015798647</w:t>
            </w:r>
            <w:r>
              <w:rPr>
                <w:rFonts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qq</w:t>
            </w:r>
            <w:r>
              <w:rPr>
                <w:rFonts w:eastAsia="宋体"/>
                <w:sz w:val="21"/>
                <w:szCs w:val="21"/>
                <w:lang w:eastAsia="zh-CN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1.每次上课的课前、课间和课后，采用一对一的问答方式；2.充分利用现代网络手段（QQ、微信），进行远程答疑；3.课外在12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k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答疑。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（√）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《分析化学》（上册，第六版），武汉大学主编，高等教育出版社，20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6。</w:t>
            </w:r>
          </w:p>
          <w:p>
            <w:pPr>
              <w:pStyle w:val="8"/>
              <w:spacing w:line="240" w:lineRule="auto"/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bCs/>
                <w:i w:val="0"/>
                <w:iCs w:val="0"/>
                <w:sz w:val="21"/>
                <w:szCs w:val="21"/>
                <w:lang w:val="en-US" w:eastAsia="zh-CN" w:bidi="ar-SA"/>
              </w:rPr>
              <w:t>教学参考资料：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分析化学，薛华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等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主编，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北京：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清华大学出版社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，1994；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分析化学，华东理工大学化学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四川大学化工学院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，第五版，北京：高等教育出版社， 200</w:t>
            </w:r>
            <w:r>
              <w:rPr>
                <w:rFonts w:hint="eastAsia" w:eastAsia="宋体" w:cs="Times New Roman"/>
                <w:i w:val="0"/>
                <w:iCs w:val="0"/>
                <w:sz w:val="21"/>
                <w:szCs w:val="21"/>
                <w:lang w:val="en-US" w:eastAsia="zh-CN" w:bidi="ar-SA"/>
              </w:rPr>
              <w:t>3；分析化学教程，李克安主编，北京：北京大学出版社，2005；分析化学教程，潘祖亭，北京：科学出版社，2012.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本课程是化学及环境相关专业的专业必修课程，一门重要的学科基础课。本课程的教学目的是使学生掌握化学分析方法的理论基础、各类定量分析方法的原理及过程、数据处理及其分析结果表达。开设本课程，旨在使学生全面系统地了解化学分析方法，同时通过配套的实验教学，培养学生实事求是的科学态度和严谨、细致的工作作风，为后继课程的学习和将来参加社会实践打下良好基础。它是培养各类专业工程技术人才的整体知识结构的重要组成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4376" w:type="dxa"/>
            <w:gridSpan w:val="5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了解分析化学学科的系统性、完整性，建立起准确的“量”的概念；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理解分析化学中各类分析方法的基本知识、基本原理、基本理论、应用条件等；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培养学生能熟练进行分析化学中相关计算和数据统计处理的能力，准确科学表达分析结果的具体操作技能；培养学生的分析化学方法学验证，分析方法评价的能力和基本方法。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解决实际样品分析测试的能力；能设计出测定该对象的实验方案，提高综合设计实训能力。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.激发学生专业兴趣，培养化工行业之职业及伦理规范。</w:t>
            </w:r>
          </w:p>
        </w:tc>
        <w:tc>
          <w:tcPr>
            <w:tcW w:w="5478" w:type="dxa"/>
            <w:gridSpan w:val="5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本课程与学生核心能力培养之间的关联（可多选）：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运用数学、物理、化工基础科学理论和工程知识的能力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核心能力2.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设计与执行实验与仪器操作、分析与解释实验数据的能力。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核心能力3.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执行化工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领域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所需技术、技巧及使用工具的能力。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具备工程设计方法与管理的能力。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□核心能力5.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具备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项目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管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理、有效沟通协调与团队合作的能力。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tabs>
                <w:tab w:val="left" w:pos="1168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具备资料搜集与分析能力并且运用于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化工相关专题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研究能力。</w:t>
            </w:r>
          </w:p>
          <w:p>
            <w:pPr>
              <w:wordWrap w:val="0"/>
              <w:spacing w:after="0" w:line="360" w:lineRule="exact"/>
              <w:ind w:right="74"/>
              <w:jc w:val="left"/>
              <w:rPr>
                <w:rFonts w:ascii="Arial" w:hAnsi="Arial" w:eastAsia="宋体" w:cs="Arial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核心能力7．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认识科技发展现状与趋势，了解化工技术对环境、社会及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全球的影响，并培养持续学习的习惯与能力。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Cs w:val="24"/>
              </w:rPr>
              <w:sym w:font="Wingdings 2" w:char="F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核心能力8．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理解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并遵守职业道德和规范、认知工程伦理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，及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承担社会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责任</w:t>
            </w:r>
            <w:r>
              <w:rPr>
                <w:rFonts w:hint="eastAsia" w:ascii="Arial" w:hAnsi="Arial" w:eastAsia="宋体" w:cs="Arial"/>
                <w:sz w:val="18"/>
                <w:szCs w:val="18"/>
                <w:lang w:eastAsia="zh-CN"/>
              </w:rPr>
              <w:t>的能力</w:t>
            </w:r>
            <w:r>
              <w:rPr>
                <w:rFonts w:ascii="Arial" w:hAnsi="Arial" w:eastAsia="宋体" w:cs="Arial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6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36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349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139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73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分析化学概论</w:t>
            </w:r>
          </w:p>
        </w:tc>
        <w:tc>
          <w:tcPr>
            <w:tcW w:w="636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重点：基准物质和标准溶液、计算。难点：分析化学计算</w:t>
            </w:r>
          </w:p>
        </w:tc>
        <w:tc>
          <w:tcPr>
            <w:tcW w:w="1391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多媒体讲授，设问，提问，案例，演算</w:t>
            </w:r>
          </w:p>
        </w:tc>
        <w:tc>
          <w:tcPr>
            <w:tcW w:w="1736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，第3、4、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、8、1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分析试样的采集与制备</w:t>
            </w:r>
          </w:p>
        </w:tc>
        <w:tc>
          <w:tcPr>
            <w:tcW w:w="636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重点：试样的采集、制备、分解和试样测定前的预处理。难点：分析试样的采集与制备</w:t>
            </w:r>
          </w:p>
        </w:tc>
        <w:tc>
          <w:tcPr>
            <w:tcW w:w="1391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36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P3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，第1、4、5题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1764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分析化学中的误差与数据处理</w:t>
            </w:r>
          </w:p>
        </w:tc>
        <w:tc>
          <w:tcPr>
            <w:tcW w:w="636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重点：分析中的误差、数据处理与统计规律。难点：掌握数据处理的原理和方法</w:t>
            </w:r>
          </w:p>
        </w:tc>
        <w:tc>
          <w:tcPr>
            <w:tcW w:w="1391" w:type="dxa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演算，图谱分析，多媒体讲授</w:t>
            </w:r>
          </w:p>
        </w:tc>
        <w:tc>
          <w:tcPr>
            <w:tcW w:w="1736" w:type="dxa"/>
            <w:gridSpan w:val="2"/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P7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，第4、9、11、19题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分析化学中的质量保证与控制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9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重点：分析过程的质量保证与质量控制、标准方法与标准物质、实验室认可与计量认证。难点：了解QA、QC的概念与方法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复习这一章内容。P109，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酸碱滴定法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93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重点：溶液组分平衡、pH值计算、酸碱缓冲溶液、指示剂和滴定原理及应用。难点：理解酸碱平衡，掌握相关的基本计算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电子课件、flash仿真动画</w:t>
            </w:r>
          </w:p>
        </w:tc>
        <w:tc>
          <w:tcPr>
            <w:tcW w:w="1736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P168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第10、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6题</w:t>
            </w:r>
          </w:p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查资料设计完成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NaCO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-Na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PO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混合碱中NaOH和Na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PO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浓度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的测定方案或烧碱中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NaOH和NaCO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含量的测定方案（二选一）</w:t>
            </w:r>
            <w:r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络合滴定法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重点：络合物平衡常数与副反应、络合滴定原理、酸度控制、提高络合滴定选择性及应用。难点：理解副反应的影响及其对滴定的条件确定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P221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氧化还原滴定法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重点：氧化还原平衡、氧化还原滴定原理和预处理、常用氧化还原滴定法、滴定结果计算。难点：理解滴定条件的影响因素，掌握结果计算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多媒体讲授，案例解析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P267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10、17、23</w:t>
            </w:r>
            <w:bookmarkStart w:id="0" w:name="_GoBack"/>
            <w:bookmarkEnd w:id="0"/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沉淀滴定法和滴定分析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重点：沉淀滴定法、沉淀滴定指示剂、莫尔法、佛尔哈德法、法扬斯法。难点：了解沉淀滴定的基本原理，区别三种沉淀滴定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电子课件、flash仿真动画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P285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、4题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13-14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重量分析法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重点：重量分析概述、沉淀溶解度的影响因素、沉淀类型、影响沉淀纯度因素、沉淀条件。难点：理解沉淀影响因素与沉淀条件的确定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多媒体讲授，实况录像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P315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吸光光度法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重点：光吸收基本定律、光度计、显色反应、吸光光度分析与误差控制、吸光光度法应用。难点：理解吸光光度法的基本原理、了解简单分析仪器的结构，掌握基本计算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多媒体讲授，设问，提问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,仪器结构图介绍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P346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第3、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、1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分析化学中分离和富集方法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重点：气态分离法、沉淀分离法、萃取分离法、离子交换分离法、色谱分离法等。难点：较全面地了解常见的分离富集方法，掌握一些基本计算和应用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类比法，演算法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360" w:lineRule="exac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P389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9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36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4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成绩评定方法及标准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考核内容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考勤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缺席1次扣平时分5分，缺席3次以上不及格处理，百分制。</w:t>
            </w:r>
          </w:p>
        </w:tc>
        <w:tc>
          <w:tcPr>
            <w:tcW w:w="170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课堂互动（设计检测方法）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napToGrid w:val="0"/>
              <w:spacing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查资料设计完成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NaCO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-Na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PO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混合碱中NaOH和Na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PO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浓度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的测定方案或烧碱中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NaOH和NaCO</w:t>
            </w:r>
            <w:r>
              <w:rPr>
                <w:rFonts w:hint="eastAsia" w:eastAsia="宋体"/>
                <w:sz w:val="21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含量的测定方案（二选一）</w:t>
            </w:r>
            <w:r>
              <w:rPr>
                <w:rFonts w:eastAsia="宋体"/>
                <w:sz w:val="21"/>
                <w:szCs w:val="21"/>
                <w:lang w:eastAsia="zh-CN"/>
              </w:rPr>
              <w:t>，百分制。</w:t>
            </w:r>
          </w:p>
        </w:tc>
        <w:tc>
          <w:tcPr>
            <w:tcW w:w="170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课堂纪律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课堂认真听讲，积极发言（每次发言加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5分），百分制。</w:t>
            </w:r>
          </w:p>
        </w:tc>
        <w:tc>
          <w:tcPr>
            <w:tcW w:w="170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每次讲课完毕，教师均会根据所讲内容以及需要延伸的内容，提出具体要求，布置相关作业，取每次成绩的平均分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，百分制</w:t>
            </w:r>
          </w:p>
        </w:tc>
        <w:tc>
          <w:tcPr>
            <w:tcW w:w="170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eastAsia="宋体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21" w:type="dxa"/>
            <w:gridSpan w:val="2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期末考试成绩</w:t>
            </w:r>
          </w:p>
        </w:tc>
        <w:tc>
          <w:tcPr>
            <w:tcW w:w="5930" w:type="dxa"/>
            <w:gridSpan w:val="7"/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按照期末考试成绩进行评价，百分制</w:t>
            </w:r>
          </w:p>
        </w:tc>
        <w:tc>
          <w:tcPr>
            <w:tcW w:w="1703" w:type="dxa"/>
            <w:vAlign w:val="center"/>
          </w:tcPr>
          <w:p>
            <w:pPr>
              <w:spacing w:after="0" w:line="36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大纲编写时间：2017/</w:t>
            </w:r>
            <w:r>
              <w:rPr>
                <w:rFonts w:hint="eastAsia" w:eastAsia="宋体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854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系（专业）课程委员会审查意见：</w:t>
            </w:r>
          </w:p>
          <w:p>
            <w:pPr>
              <w:spacing w:after="0" w:line="360" w:lineRule="exact"/>
              <w:ind w:firstLine="945" w:firstLineChars="45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我系（专业）课程委员会已对本课程教学大纲进行了审查，同意执行。</w:t>
            </w: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系（专业）课程委员会主任签名：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rPr>
          <w:rFonts w:eastAsiaTheme="minorEastAsia"/>
          <w:b/>
          <w:bCs/>
          <w:sz w:val="21"/>
          <w:szCs w:val="21"/>
          <w:lang w:eastAsia="zh-CN"/>
        </w:rPr>
      </w:pPr>
      <w:r>
        <w:rPr>
          <w:rFonts w:eastAsiaTheme="minorEastAsia"/>
          <w:b/>
          <w:bCs/>
          <w:sz w:val="21"/>
          <w:szCs w:val="21"/>
          <w:lang w:eastAsia="zh-CN"/>
        </w:rPr>
        <w:t>备注：</w:t>
      </w:r>
    </w:p>
    <w:p>
      <w:pPr>
        <w:spacing w:line="360" w:lineRule="exact"/>
        <w:rPr>
          <w:rFonts w:eastAsia="宋体"/>
          <w:b/>
          <w:sz w:val="21"/>
          <w:szCs w:val="21"/>
          <w:lang w:eastAsia="zh-CN"/>
        </w:rPr>
      </w:pPr>
      <w:r>
        <w:rPr>
          <w:rFonts w:hint="eastAsia" w:eastAsiaTheme="minorEastAsia"/>
          <w:b/>
          <w:bCs/>
          <w:sz w:val="21"/>
          <w:szCs w:val="21"/>
          <w:lang w:eastAsia="zh-CN"/>
        </w:rPr>
        <w:t>（1）课程进度以实际授课为准，任课教师根据需要可能会适当调整。</w:t>
      </w: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2669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6698D"/>
    <w:rsid w:val="00087B74"/>
    <w:rsid w:val="000B626E"/>
    <w:rsid w:val="000E0AE8"/>
    <w:rsid w:val="00155E5A"/>
    <w:rsid w:val="00171228"/>
    <w:rsid w:val="001B31E9"/>
    <w:rsid w:val="001D28E8"/>
    <w:rsid w:val="001F20BC"/>
    <w:rsid w:val="002067B3"/>
    <w:rsid w:val="00227119"/>
    <w:rsid w:val="002603AF"/>
    <w:rsid w:val="002E27E1"/>
    <w:rsid w:val="003044FA"/>
    <w:rsid w:val="0037561C"/>
    <w:rsid w:val="003C267D"/>
    <w:rsid w:val="003C66D8"/>
    <w:rsid w:val="003E66A6"/>
    <w:rsid w:val="004372F2"/>
    <w:rsid w:val="00457E42"/>
    <w:rsid w:val="004B3994"/>
    <w:rsid w:val="004E0481"/>
    <w:rsid w:val="004E7804"/>
    <w:rsid w:val="0051069F"/>
    <w:rsid w:val="005639AB"/>
    <w:rsid w:val="00580BA9"/>
    <w:rsid w:val="005F174F"/>
    <w:rsid w:val="0065651C"/>
    <w:rsid w:val="00735FDE"/>
    <w:rsid w:val="00770F0D"/>
    <w:rsid w:val="00776AF2"/>
    <w:rsid w:val="00785779"/>
    <w:rsid w:val="007E61D0"/>
    <w:rsid w:val="008147FF"/>
    <w:rsid w:val="00815F78"/>
    <w:rsid w:val="008512DF"/>
    <w:rsid w:val="00855020"/>
    <w:rsid w:val="00870B4E"/>
    <w:rsid w:val="00885EED"/>
    <w:rsid w:val="00890E97"/>
    <w:rsid w:val="00892ADC"/>
    <w:rsid w:val="00896971"/>
    <w:rsid w:val="00917C66"/>
    <w:rsid w:val="00941180"/>
    <w:rsid w:val="009A2B5C"/>
    <w:rsid w:val="009B3EAE"/>
    <w:rsid w:val="009D3079"/>
    <w:rsid w:val="00A71812"/>
    <w:rsid w:val="00A84D68"/>
    <w:rsid w:val="00A85774"/>
    <w:rsid w:val="00AA199F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B45CF"/>
    <w:rsid w:val="00DB5724"/>
    <w:rsid w:val="00DF5C03"/>
    <w:rsid w:val="00E0505F"/>
    <w:rsid w:val="00E413E8"/>
    <w:rsid w:val="00E53E23"/>
    <w:rsid w:val="00EB4982"/>
    <w:rsid w:val="00ED3FCA"/>
    <w:rsid w:val="00F31667"/>
    <w:rsid w:val="00F617C2"/>
    <w:rsid w:val="00F96D96"/>
    <w:rsid w:val="00FE22C8"/>
    <w:rsid w:val="07ED3962"/>
    <w:rsid w:val="0A364FB3"/>
    <w:rsid w:val="0B291A7C"/>
    <w:rsid w:val="0D5D1F94"/>
    <w:rsid w:val="14C475C8"/>
    <w:rsid w:val="165978FF"/>
    <w:rsid w:val="18870ED6"/>
    <w:rsid w:val="1CBC4C29"/>
    <w:rsid w:val="1F5F5C13"/>
    <w:rsid w:val="2001589A"/>
    <w:rsid w:val="22C645E5"/>
    <w:rsid w:val="254D027A"/>
    <w:rsid w:val="26126715"/>
    <w:rsid w:val="28AD1D92"/>
    <w:rsid w:val="28F93AE2"/>
    <w:rsid w:val="29D10BBB"/>
    <w:rsid w:val="2A34716E"/>
    <w:rsid w:val="2AE35154"/>
    <w:rsid w:val="2B124730"/>
    <w:rsid w:val="2C23799B"/>
    <w:rsid w:val="2D171798"/>
    <w:rsid w:val="2DF64EA0"/>
    <w:rsid w:val="2F3A5086"/>
    <w:rsid w:val="3034475C"/>
    <w:rsid w:val="314355DC"/>
    <w:rsid w:val="32455BC2"/>
    <w:rsid w:val="32583850"/>
    <w:rsid w:val="38DA14F0"/>
    <w:rsid w:val="39967751"/>
    <w:rsid w:val="3CD71E37"/>
    <w:rsid w:val="3D2D692E"/>
    <w:rsid w:val="3DDE4DAF"/>
    <w:rsid w:val="41D80E96"/>
    <w:rsid w:val="42DE01E5"/>
    <w:rsid w:val="462418ED"/>
    <w:rsid w:val="46A071BE"/>
    <w:rsid w:val="48B51A4C"/>
    <w:rsid w:val="49B121F1"/>
    <w:rsid w:val="4F895BBD"/>
    <w:rsid w:val="50D865E6"/>
    <w:rsid w:val="51C72C80"/>
    <w:rsid w:val="54BB4AAA"/>
    <w:rsid w:val="56F2284F"/>
    <w:rsid w:val="5C6732F4"/>
    <w:rsid w:val="5D7C0B83"/>
    <w:rsid w:val="5EB02971"/>
    <w:rsid w:val="62602DFF"/>
    <w:rsid w:val="6618499F"/>
    <w:rsid w:val="66EA714F"/>
    <w:rsid w:val="690529F1"/>
    <w:rsid w:val="696E1ED4"/>
    <w:rsid w:val="6A702365"/>
    <w:rsid w:val="6D650040"/>
    <w:rsid w:val="73024EBE"/>
    <w:rsid w:val="75694F08"/>
    <w:rsid w:val="785D4E1D"/>
    <w:rsid w:val="78691164"/>
    <w:rsid w:val="795503CA"/>
    <w:rsid w:val="797F054A"/>
    <w:rsid w:val="79954FC4"/>
    <w:rsid w:val="79F746AC"/>
    <w:rsid w:val="7A830E9C"/>
    <w:rsid w:val="7ACD7EC6"/>
    <w:rsid w:val="7B804B71"/>
    <w:rsid w:val="7F4A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4"/>
    <w:qFormat/>
    <w:uiPriority w:val="0"/>
    <w:rPr>
      <w:b/>
      <w:bCs/>
    </w:rPr>
  </w:style>
  <w:style w:type="paragraph" w:styleId="3">
    <w:name w:val="annotation text"/>
    <w:basedOn w:val="1"/>
    <w:link w:val="23"/>
    <w:qFormat/>
    <w:uiPriority w:val="0"/>
    <w:pPr>
      <w:jc w:val="left"/>
    </w:pPr>
  </w:style>
  <w:style w:type="paragraph" w:styleId="4">
    <w:name w:val="Document Map"/>
    <w:basedOn w:val="1"/>
    <w:link w:val="21"/>
    <w:qFormat/>
    <w:uiPriority w:val="0"/>
    <w:rPr>
      <w:rFonts w:ascii="宋体" w:eastAsia="宋体"/>
      <w:sz w:val="18"/>
      <w:szCs w:val="18"/>
    </w:rPr>
  </w:style>
  <w:style w:type="paragraph" w:styleId="5">
    <w:name w:val="Balloon Text"/>
    <w:basedOn w:val="1"/>
    <w:link w:val="20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360" w:lineRule="auto"/>
    </w:pPr>
    <w:rPr>
      <w:i/>
      <w:iCs/>
    </w:rPr>
  </w:style>
  <w:style w:type="character" w:styleId="10">
    <w:name w:val="FollowedHyperlink"/>
    <w:basedOn w:val="9"/>
    <w:qFormat/>
    <w:uiPriority w:val="0"/>
    <w:rPr>
      <w:color w:val="0000FF"/>
      <w:u w:val="none"/>
    </w:rPr>
  </w:style>
  <w:style w:type="character" w:styleId="11">
    <w:name w:val="Hyperlink"/>
    <w:basedOn w:val="9"/>
    <w:qFormat/>
    <w:uiPriority w:val="0"/>
    <w:rPr>
      <w:color w:val="0000FF"/>
      <w:u w:val="non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6">
    <w:name w:val="fontstyle01"/>
    <w:basedOn w:val="9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7">
    <w:name w:val="页眉 Char"/>
    <w:basedOn w:val="9"/>
    <w:link w:val="7"/>
    <w:qFormat/>
    <w:uiPriority w:val="0"/>
    <w:rPr>
      <w:rFonts w:eastAsia="PMingLiU"/>
      <w:sz w:val="18"/>
      <w:szCs w:val="18"/>
      <w:lang w:eastAsia="en-US"/>
    </w:rPr>
  </w:style>
  <w:style w:type="character" w:customStyle="1" w:styleId="18">
    <w:name w:val="页脚 Char"/>
    <w:basedOn w:val="9"/>
    <w:link w:val="6"/>
    <w:qFormat/>
    <w:uiPriority w:val="99"/>
    <w:rPr>
      <w:rFonts w:eastAsia="PMingLiU"/>
      <w:sz w:val="18"/>
      <w:szCs w:val="18"/>
      <w:lang w:eastAsia="en-US"/>
    </w:rPr>
  </w:style>
  <w:style w:type="paragraph" w:customStyle="1" w:styleId="19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5"/>
    <w:qFormat/>
    <w:uiPriority w:val="0"/>
    <w:rPr>
      <w:rFonts w:eastAsia="PMingLiU"/>
      <w:sz w:val="18"/>
      <w:szCs w:val="18"/>
      <w:lang w:eastAsia="en-US"/>
    </w:rPr>
  </w:style>
  <w:style w:type="character" w:customStyle="1" w:styleId="21">
    <w:name w:val="文档结构图 Char"/>
    <w:basedOn w:val="9"/>
    <w:link w:val="4"/>
    <w:qFormat/>
    <w:uiPriority w:val="0"/>
    <w:rPr>
      <w:rFonts w:ascii="宋体"/>
      <w:sz w:val="18"/>
      <w:szCs w:val="18"/>
      <w:lang w:eastAsia="en-US"/>
    </w:rPr>
  </w:style>
  <w:style w:type="character" w:customStyle="1" w:styleId="22">
    <w:name w:val="text"/>
    <w:basedOn w:val="9"/>
    <w:qFormat/>
    <w:uiPriority w:val="0"/>
  </w:style>
  <w:style w:type="character" w:customStyle="1" w:styleId="23">
    <w:name w:val="批注文字 Char"/>
    <w:basedOn w:val="9"/>
    <w:link w:val="3"/>
    <w:qFormat/>
    <w:uiPriority w:val="0"/>
    <w:rPr>
      <w:rFonts w:eastAsia="PMingLiU"/>
      <w:sz w:val="24"/>
      <w:szCs w:val="22"/>
      <w:lang w:eastAsia="en-US"/>
    </w:rPr>
  </w:style>
  <w:style w:type="character" w:customStyle="1" w:styleId="24">
    <w:name w:val="批注主题 Char"/>
    <w:basedOn w:val="23"/>
    <w:link w:val="2"/>
    <w:qFormat/>
    <w:uiPriority w:val="0"/>
    <w:rPr>
      <w:rFonts w:eastAsia="PMingLiU"/>
      <w:b/>
      <w:bCs/>
      <w:sz w:val="24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8A6E70-0D63-4B1B-9121-E6E4472EE7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485</Words>
  <Characters>2770</Characters>
  <Lines>23</Lines>
  <Paragraphs>6</Paragraphs>
  <ScaleCrop>false</ScaleCrop>
  <LinksUpToDate>false</LinksUpToDate>
  <CharactersWithSpaces>3249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2017-03-06T06:30:00Z</dcterms:created>
  <dc:creator>lenovo</dc:creator>
  <cp:lastModifiedBy>peng</cp:lastModifiedBy>
  <cp:lastPrinted>2017-07-09T03:32:00Z</cp:lastPrinted>
  <dcterms:modified xsi:type="dcterms:W3CDTF">2017-09-07T02:22:39Z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